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34E0"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A MOHU ÁSZF szerint:</w:t>
      </w:r>
    </w:p>
    <w:p w14:paraId="25A51E83"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A hulladékgazdálkodási közszolgáltatási résztevékenység keretében végzett szolgáltatás igénybevételének szüneteltetése:</w:t>
      </w:r>
    </w:p>
    <w:p w14:paraId="4A9056B7"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 4.3.1 A szüneteltetés igénybevételének általános szabályai  </w:t>
      </w:r>
    </w:p>
    <w:p w14:paraId="1E5B7D21"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4.3.1.1 A hulladékgazdálkodási közszolgáltatási résztevékenység keretében végzett szolgáltatás igénybevétele egyhuzamban legalább 60 napra, de legfeljebb 1 év időtartamra szüneteltethető. </w:t>
      </w:r>
    </w:p>
    <w:p w14:paraId="36DC1BE1"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(a) azon az ingatlanon, amelynek használója azt legalább 60 napot meghaladó időtartamban, megszakítás nélkül nem lakja, nem használja, egyéb módon nem hasznosítja és az ingatlanban más részére sem lakhatást, sem egyéb hasznosítási lehetőséget nem biztosít és emiatt ott hulladék nem keletkezik;  </w:t>
      </w:r>
    </w:p>
    <w:p w14:paraId="352645C1"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(b) abban az esetben, ha az ingatlant egyedül használó természetes személy önmaga ellátására képtelen, és nappali ellátásáról igazolható módon más helyen gondoskodnak; </w:t>
      </w:r>
    </w:p>
    <w:p w14:paraId="184ECDBD"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(c) valamint a 4.3.2.3 pont szerinti feltételekkel továbbá abban az esetben, ha az ingatlan használója elhunyt.  </w:t>
      </w:r>
    </w:p>
    <w:p w14:paraId="22379039"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4.3.1.2 Szüneteltetés a szünetelés kívánt kezdő időpontja előtt legalább 30 nappal megelőzően kezdeményezhető. A szüneteltetés újra kezdeményezhető - a szüneteltetésre vonatkozó igény bejelentésének szabályai szerint - legfeljebb egy évre, a korábbi szüneteltetés igazolása mellett. Kezdeményezés hiányában, a szolgáltatás a szüneteltetés előtti feltételekkel automatikusan újraindul.</w:t>
      </w:r>
    </w:p>
    <w:p w14:paraId="48A495E6"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 4.3.1.3 Az Ügyfél a hulladékgazdálkodási közszolgáltatási résztevékenység keretében végzett szolgáltatás igénybevételének szüneteltetésére vonatkozó igényét formanyomtatvány a Területi Szolgáltatónál rendszeresített kitöltésével köteles bejelenteni. A formanyomtatványon az Ügyfél köteles a szüneteltetés kívánt időtartamát megjelölni, valamint annak indokát hitelt érdemlő módon, a Területi Mellékletben meghatározott nyilatkozattal, dokumentummal alátámasztani, igazolni. </w:t>
      </w:r>
    </w:p>
    <w:p w14:paraId="6D17856C"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4.3.1.4 A hulladékgazdálkodási közszolgáltatási résztevékenység keretében végzett szolgáltatás igénybevételének szünetelésére visszamenőlegesen kizárólag abban az esetben van lehetőség, ha a szüneteltetés feltételei egyébként fennállnak, ugyanakkor a szüneteltetést az Ingatlanhasználó tartós akadályoztatása miatt, vagy érvényes jogcíme hiányában csak későbbi időpontban jelenti be. Ebben az esetben az Ingatlanhasználó az akadályoztatás okának megjelölésével és szüneteltetési kérelmének alapjául szolgáló hiteles dokumentumok benyújtásával kérheti kizárólag a hulladékgazdálkodási közszolgáltatási résztevékenység igénybevétele szüneteltetésének utólagos megállapítását. A jelen pont szerinti tartós akadályoztatás alatt az alábbiak értendők: tartós orvosi ellátás; fegyházban, börtönben, fogházban töltött szabadságvesztés, </w:t>
      </w:r>
      <w:proofErr w:type="spellStart"/>
      <w:r w:rsidRPr="00B26D41">
        <w:rPr>
          <w:rFonts w:ascii="Times New Roman" w:eastAsia="Times New Roman" w:hAnsi="Times New Roman" w:cs="Times New Roman"/>
          <w:kern w:val="0"/>
          <w:lang w:eastAsia="hu-HU"/>
          <w14:ligatures w14:val="none"/>
        </w:rPr>
        <w:t>vis</w:t>
      </w:r>
      <w:proofErr w:type="spellEnd"/>
      <w:r w:rsidRPr="00B26D41">
        <w:rPr>
          <w:rFonts w:ascii="Times New Roman" w:eastAsia="Times New Roman" w:hAnsi="Times New Roman" w:cs="Times New Roman"/>
          <w:kern w:val="0"/>
          <w:lang w:eastAsia="hu-HU"/>
          <w14:ligatures w14:val="none"/>
        </w:rPr>
        <w:t xml:space="preserve"> maior.</w:t>
      </w:r>
    </w:p>
    <w:p w14:paraId="3A667D84"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 4.3.1.5 Szüneteltetés egy számlázási ciklusban egyszer kérhető. A szüneteltetés időtartama alatt a hulladékgazdálkodási közszolgáltatási résztevékenység részeként biztosított szolgáltatások egyike sem vehető igénybe (pl. lomtalanítás, Zöldhulladék szállítás, elkülönített hulladék szállítás, komposztáló igénylése). </w:t>
      </w:r>
    </w:p>
    <w:p w14:paraId="08E9FF68"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4.3.1.6 A szüneteltetés időtartamáról a Területi Szolgáltató az adott ingatlan nyilvántartásában való rögzítésével egyidejűleg írásban tájékoztatja az Ingatlanhasználót. </w:t>
      </w:r>
    </w:p>
    <w:p w14:paraId="13F7F314"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4.3.1.7 Ha a szünetelés feltételeiben változás következik be, az Ingatlanhasználó köteles haladéktalanul a Területi Szolgáltatónak írásban bejelenteni, aki az adatszolgáltatás keretében a változásról a MOHU-t értesíti.  </w:t>
      </w:r>
    </w:p>
    <w:p w14:paraId="2A3505E2"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4.3.1.8 A Területi Szolgáltató jogosult a szüneteltetés feltételeinek fennállását, így a szüneteltetési kérelemben előadottak valóságtartamát ellenőrizni, és ezzel kapcsolatban az Ingatlanhasználótól a Területi Mellékletben meghatározottak szerint további tájékoztatást és okiratokat kérni.  </w:t>
      </w:r>
    </w:p>
    <w:p w14:paraId="4F2F6ABE"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4.3.1.9 Amennyiben a Területi Szolgáltató az ellenőrzés során azt tapasztalja, hogy a szüneteltetést (a) az Ingatlanhasználó jogosulatlanul vette igénybe; </w:t>
      </w:r>
    </w:p>
    <w:p w14:paraId="691EEB57"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lastRenderedPageBreak/>
        <w:t xml:space="preserve">(b) vagy a szüneteltetés feltételei a szüneteltetési kérelemben előadottakhoz képest már nem állnak fenn, és az Ingatlanhasználó a szüneteltetés feltételeiben bekövetkezett ezen változást nem jelentette be,  </w:t>
      </w:r>
    </w:p>
    <w:p w14:paraId="62374D28"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a Területi Szolgáltató, az Ingatlanhasználó egyidejű értesítése mellett, jogosult a szünetelést megszüntetni, valamint az Ingatlanhasználót a szüneteltetés bejelentésének időpontjáig visszamenő időszak tekintetében a hulladékgazdálkodási közszolgáltatási díj megfizetésére kötelezni. </w:t>
      </w:r>
    </w:p>
    <w:p w14:paraId="7E97EE97"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4.3.1.10 Az Ügyfél köteles az ingatlan használaton kívüliségét a szüneteltetési időszak lejártát követő 30 napon belül az ingatlanon elhelyezett víz vagy villamos energia közmű tekintetében kiadott, nulla fogyasztást mutató számla vagy az adott szolgáltató által kiállított, minimális fogyasztást igazoló dokumentum benyújtásával igazolni a Területi Szolgáltató felé. A minimális fogyasztás igazolása érdekében vízfogyasztás esetén a fogyasztás mértéke legfeljebb 0,5 m³/hó, míg villamosenergia-fogyasztás esetén legfeljebb 50 kWh/hó lehet. Amennyiben az Ügyfél nem igazolja az ingatlan használaton kívüliségét a fentieknek megfelelően, akkor ezen időszakra visszamenőleg kiszámlázásra kerül a hulladékgazdálkodási közszolgáltatási díj. </w:t>
      </w:r>
    </w:p>
    <w:p w14:paraId="25A908C0" w14:textId="77777777" w:rsidR="00B26D41" w:rsidRPr="00B26D41" w:rsidRDefault="00B26D41" w:rsidP="00B26D41">
      <w:pPr>
        <w:spacing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Különös szabály: Tekintettel arra, hogy a 2025.03.01-jén hatályba lépő ÁSZF rendelkezések kedvezőbbek az Ügyfél számára, így a már megkezdett szüneteltetések esetén a hatályos szabályozás az irányadó.</w:t>
      </w:r>
    </w:p>
    <w:p w14:paraId="60C164D2" w14:textId="77777777" w:rsidR="00B26D41" w:rsidRPr="00B26D41" w:rsidRDefault="00B26D41" w:rsidP="00B26D41">
      <w:pPr>
        <w:tabs>
          <w:tab w:val="center" w:pos="4536"/>
        </w:tabs>
        <w:spacing w:before="120"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 xml:space="preserve">Fentiek alapján </w:t>
      </w:r>
      <w:r w:rsidRPr="00B26D41">
        <w:rPr>
          <w:rFonts w:ascii="Times New Roman" w:eastAsia="Times New Roman" w:hAnsi="Times New Roman" w:cs="Times New Roman"/>
          <w:b/>
          <w:kern w:val="0"/>
          <w:lang w:eastAsia="hu-HU"/>
          <w14:ligatures w14:val="none"/>
        </w:rPr>
        <w:t xml:space="preserve">a szüneteltetés tárgyévre, illetve a tárgyévet követő évben és teljes naptári hónapokra, </w:t>
      </w:r>
      <w:r w:rsidRPr="00B26D41">
        <w:rPr>
          <w:rFonts w:ascii="Times New Roman" w:eastAsia="Times New Roman" w:hAnsi="Times New Roman" w:cs="Times New Roman"/>
          <w:kern w:val="0"/>
          <w:lang w:eastAsia="hu-HU"/>
          <w14:ligatures w14:val="none"/>
        </w:rPr>
        <w:t xml:space="preserve">maximum 1 évre </w:t>
      </w:r>
      <w:r w:rsidRPr="00B26D41">
        <w:rPr>
          <w:rFonts w:ascii="Times New Roman" w:eastAsia="Times New Roman" w:hAnsi="Times New Roman" w:cs="Times New Roman"/>
          <w:b/>
          <w:kern w:val="0"/>
          <w:lang w:eastAsia="hu-HU"/>
          <w14:ligatures w14:val="none"/>
        </w:rPr>
        <w:t>kérhető</w:t>
      </w:r>
      <w:r w:rsidRPr="00B26D41">
        <w:rPr>
          <w:rFonts w:ascii="Times New Roman" w:eastAsia="Times New Roman" w:hAnsi="Times New Roman" w:cs="Times New Roman"/>
          <w:kern w:val="0"/>
          <w:lang w:eastAsia="hu-HU"/>
          <w14:ligatures w14:val="none"/>
        </w:rPr>
        <w:t xml:space="preserve">, amennyiben a </w:t>
      </w:r>
      <w:proofErr w:type="spellStart"/>
      <w:r w:rsidRPr="00B26D41">
        <w:rPr>
          <w:rFonts w:ascii="Times New Roman" w:eastAsia="Times New Roman" w:hAnsi="Times New Roman" w:cs="Times New Roman"/>
          <w:kern w:val="0"/>
          <w:lang w:eastAsia="hu-HU"/>
          <w14:ligatures w14:val="none"/>
        </w:rPr>
        <w:t>gyűjtőedényzet</w:t>
      </w:r>
      <w:proofErr w:type="spellEnd"/>
      <w:r w:rsidRPr="00B26D41">
        <w:rPr>
          <w:rFonts w:ascii="Times New Roman" w:eastAsia="Times New Roman" w:hAnsi="Times New Roman" w:cs="Times New Roman"/>
          <w:kern w:val="0"/>
          <w:lang w:eastAsia="hu-HU"/>
          <w14:ligatures w14:val="none"/>
        </w:rPr>
        <w:t xml:space="preserve"> azonosító matricáját (amennyiben nem társasházi ingatlan) a közszolgáltató részére átadja.</w:t>
      </w:r>
    </w:p>
    <w:p w14:paraId="7645B988" w14:textId="77777777" w:rsidR="00B26D41" w:rsidRPr="00B26D41" w:rsidRDefault="00B26D41" w:rsidP="00B26D41">
      <w:pPr>
        <w:spacing w:before="120"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b/>
          <w:kern w:val="0"/>
          <w:u w:val="single"/>
          <w:lang w:eastAsia="hu-HU"/>
          <w14:ligatures w14:val="none"/>
        </w:rPr>
        <w:t>A fogyasztás mentességet, az ÁSZF -ben meghatározott minimális fogyasztást minden esetben az aktuális közműszolgáltató (víz, áram) által kiállított díjszámlával vagy a fogyasztást igazoló dokumentummal kell bejelenteni a szüneteltetési időszak lejártát követő 30 napon belül.</w:t>
      </w:r>
      <w:r w:rsidRPr="00B26D41">
        <w:rPr>
          <w:rFonts w:ascii="Times New Roman" w:eastAsia="Times New Roman" w:hAnsi="Times New Roman" w:cs="Times New Roman"/>
          <w:kern w:val="0"/>
          <w:lang w:eastAsia="hu-HU"/>
          <w14:ligatures w14:val="none"/>
        </w:rPr>
        <w:t xml:space="preserve"> </w:t>
      </w:r>
    </w:p>
    <w:p w14:paraId="6BEB902A" w14:textId="77777777" w:rsidR="00B26D41" w:rsidRPr="00B26D41" w:rsidRDefault="00B26D41" w:rsidP="00B26D41">
      <w:pPr>
        <w:spacing w:before="120" w:after="0" w:line="240" w:lineRule="auto"/>
        <w:ind w:left="-142"/>
        <w:jc w:val="both"/>
        <w:rPr>
          <w:rFonts w:ascii="Times New Roman" w:eastAsia="Times New Roman" w:hAnsi="Times New Roman" w:cs="Times New Roman"/>
          <w:kern w:val="0"/>
          <w:lang w:eastAsia="hu-HU"/>
          <w14:ligatures w14:val="none"/>
        </w:rPr>
      </w:pPr>
      <w:r w:rsidRPr="00B26D41">
        <w:rPr>
          <w:rFonts w:ascii="Times New Roman" w:eastAsia="Times New Roman" w:hAnsi="Times New Roman" w:cs="Times New Roman"/>
          <w:kern w:val="0"/>
          <w:lang w:eastAsia="hu-HU"/>
          <w14:ligatures w14:val="none"/>
        </w:rPr>
        <w:t>Felhívjuk figyelmét, hogy a hulladékkezelési közszolgáltatási díjat minden esetben utólagosan a szüneteltetés időszakára visszamenőlegesen leszámlázzuk, amennyiben záró óraállást határidőben nem jelentenek le, illetve túllépik a 0,5 m3/hó vagy 50 kWh/hó fogyasztást.</w:t>
      </w:r>
    </w:p>
    <w:p w14:paraId="2F49A6DC" w14:textId="77777777" w:rsidR="00981E5A" w:rsidRPr="00981E5A" w:rsidRDefault="00981E5A" w:rsidP="00981E5A">
      <w:pPr>
        <w:tabs>
          <w:tab w:val="center" w:pos="4536"/>
        </w:tabs>
        <w:spacing w:after="0" w:line="240" w:lineRule="auto"/>
        <w:ind w:left="-142"/>
        <w:jc w:val="both"/>
        <w:rPr>
          <w:rFonts w:ascii="Times New Roman" w:eastAsia="Times New Roman" w:hAnsi="Times New Roman" w:cs="Times New Roman"/>
          <w:b/>
          <w:bCs/>
          <w:kern w:val="0"/>
          <w:lang w:eastAsia="hu-HU"/>
          <w14:ligatures w14:val="none"/>
        </w:rPr>
      </w:pPr>
    </w:p>
    <w:sectPr w:rsidR="00981E5A" w:rsidRPr="00981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5A"/>
    <w:rsid w:val="006327CA"/>
    <w:rsid w:val="00837478"/>
    <w:rsid w:val="00953D02"/>
    <w:rsid w:val="00981E5A"/>
    <w:rsid w:val="00A76734"/>
    <w:rsid w:val="00B26D41"/>
    <w:rsid w:val="00B92E07"/>
    <w:rsid w:val="00C249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F7A7"/>
  <w15:chartTrackingRefBased/>
  <w15:docId w15:val="{A9517AFE-2378-4A19-889E-C425E910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81E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981E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981E5A"/>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981E5A"/>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981E5A"/>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981E5A"/>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81E5A"/>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81E5A"/>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81E5A"/>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81E5A"/>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981E5A"/>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981E5A"/>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981E5A"/>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981E5A"/>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981E5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81E5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81E5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81E5A"/>
    <w:rPr>
      <w:rFonts w:eastAsiaTheme="majorEastAsia" w:cstheme="majorBidi"/>
      <w:color w:val="272727" w:themeColor="text1" w:themeTint="D8"/>
    </w:rPr>
  </w:style>
  <w:style w:type="paragraph" w:styleId="Cm">
    <w:name w:val="Title"/>
    <w:basedOn w:val="Norml"/>
    <w:next w:val="Norml"/>
    <w:link w:val="CmChar"/>
    <w:uiPriority w:val="10"/>
    <w:qFormat/>
    <w:rsid w:val="00981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81E5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81E5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81E5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81E5A"/>
    <w:pPr>
      <w:spacing w:before="160"/>
      <w:jc w:val="center"/>
    </w:pPr>
    <w:rPr>
      <w:i/>
      <w:iCs/>
      <w:color w:val="404040" w:themeColor="text1" w:themeTint="BF"/>
    </w:rPr>
  </w:style>
  <w:style w:type="character" w:customStyle="1" w:styleId="IdzetChar">
    <w:name w:val="Idézet Char"/>
    <w:basedOn w:val="Bekezdsalapbettpusa"/>
    <w:link w:val="Idzet"/>
    <w:uiPriority w:val="29"/>
    <w:rsid w:val="00981E5A"/>
    <w:rPr>
      <w:i/>
      <w:iCs/>
      <w:color w:val="404040" w:themeColor="text1" w:themeTint="BF"/>
    </w:rPr>
  </w:style>
  <w:style w:type="paragraph" w:styleId="Listaszerbekezds">
    <w:name w:val="List Paragraph"/>
    <w:basedOn w:val="Norml"/>
    <w:uiPriority w:val="34"/>
    <w:qFormat/>
    <w:rsid w:val="00981E5A"/>
    <w:pPr>
      <w:ind w:left="720"/>
      <w:contextualSpacing/>
    </w:pPr>
  </w:style>
  <w:style w:type="character" w:styleId="Erskiemels">
    <w:name w:val="Intense Emphasis"/>
    <w:basedOn w:val="Bekezdsalapbettpusa"/>
    <w:uiPriority w:val="21"/>
    <w:qFormat/>
    <w:rsid w:val="00981E5A"/>
    <w:rPr>
      <w:i/>
      <w:iCs/>
      <w:color w:val="2F5496" w:themeColor="accent1" w:themeShade="BF"/>
    </w:rPr>
  </w:style>
  <w:style w:type="paragraph" w:styleId="Kiemeltidzet">
    <w:name w:val="Intense Quote"/>
    <w:basedOn w:val="Norml"/>
    <w:next w:val="Norml"/>
    <w:link w:val="KiemeltidzetChar"/>
    <w:uiPriority w:val="30"/>
    <w:qFormat/>
    <w:rsid w:val="00981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981E5A"/>
    <w:rPr>
      <w:i/>
      <w:iCs/>
      <w:color w:val="2F5496" w:themeColor="accent1" w:themeShade="BF"/>
    </w:rPr>
  </w:style>
  <w:style w:type="character" w:styleId="Ershivatkozs">
    <w:name w:val="Intense Reference"/>
    <w:basedOn w:val="Bekezdsalapbettpusa"/>
    <w:uiPriority w:val="32"/>
    <w:qFormat/>
    <w:rsid w:val="00981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766</Words>
  <Characters>5291</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Lacza Zita</dc:creator>
  <cp:keywords/>
  <dc:description/>
  <cp:lastModifiedBy>Bojer Beatrix</cp:lastModifiedBy>
  <cp:revision>2</cp:revision>
  <cp:lastPrinted>2025-02-25T10:19:00Z</cp:lastPrinted>
  <dcterms:created xsi:type="dcterms:W3CDTF">2025-02-25T10:19:00Z</dcterms:created>
  <dcterms:modified xsi:type="dcterms:W3CDTF">2025-02-27T09:06:00Z</dcterms:modified>
</cp:coreProperties>
</file>